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813"/>
        <w:gridCol w:w="3395"/>
      </w:tblGrid>
      <w:tr w:rsidR="005222C3" w:rsidTr="005222C3">
        <w:trPr>
          <w:jc w:val="center"/>
        </w:trPr>
        <w:tc>
          <w:tcPr>
            <w:tcW w:w="3128" w:type="dxa"/>
            <w:vAlign w:val="center"/>
          </w:tcPr>
          <w:p w:rsidR="005222C3" w:rsidRDefault="005222C3" w:rsidP="005222C3">
            <w:pPr>
              <w:spacing w:before="120" w:after="120"/>
              <w:jc w:val="center"/>
              <w:rPr>
                <w:b/>
                <w:sz w:val="4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0000" cy="1260000"/>
                  <wp:effectExtent l="0" t="0" r="0" b="0"/>
                  <wp:docPr id="5" name="Resim 5" descr="https://www.tobb.org.tr/Resimler/Logolar/logo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tobb.org.tr/Resimler/Logolar/logo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vAlign w:val="center"/>
          </w:tcPr>
          <w:p w:rsidR="005222C3" w:rsidRDefault="005222C3" w:rsidP="005222C3">
            <w:pPr>
              <w:spacing w:before="120" w:after="120"/>
              <w:jc w:val="center"/>
              <w:rPr>
                <w:b/>
                <w:sz w:val="4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F3E6B89" wp14:editId="38B01E84">
                  <wp:extent cx="1260000" cy="1260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5" w:type="dxa"/>
            <w:vAlign w:val="center"/>
          </w:tcPr>
          <w:p w:rsidR="005222C3" w:rsidRDefault="005222C3" w:rsidP="005222C3">
            <w:pPr>
              <w:spacing w:before="120" w:after="120"/>
              <w:jc w:val="center"/>
              <w:rPr>
                <w:b/>
                <w:sz w:val="4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30C0442" wp14:editId="1F0C2A1A">
                  <wp:extent cx="1139444" cy="1260000"/>
                  <wp:effectExtent l="0" t="0" r="3810" b="0"/>
                  <wp:docPr id="1" name="Resim 1" descr="Akkuyu Nükleer Güç Santrali İhale Duyurularına Ulaşım Hakkı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kuyu Nükleer Güç Santrali İhale Duyurularına Ulaşım Hakkın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3" t="23001" r="25833" b="22999"/>
                          <a:stretch/>
                        </pic:blipFill>
                        <pic:spPr bwMode="auto">
                          <a:xfrm>
                            <a:off x="0" y="0"/>
                            <a:ext cx="113944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C64" w:rsidRPr="005222C3" w:rsidRDefault="00893C64" w:rsidP="007A35E7">
      <w:pPr>
        <w:spacing w:before="120" w:after="120" w:line="240" w:lineRule="auto"/>
        <w:jc w:val="center"/>
        <w:rPr>
          <w:b/>
          <w:sz w:val="72"/>
        </w:rPr>
      </w:pPr>
      <w:r w:rsidRPr="005222C3">
        <w:rPr>
          <w:b/>
          <w:sz w:val="72"/>
        </w:rPr>
        <w:t xml:space="preserve">Akkuyu Nükleer Santrali İhaleleri </w:t>
      </w:r>
    </w:p>
    <w:p w:rsidR="00893C64" w:rsidRDefault="00893C64" w:rsidP="007A35E7">
      <w:pPr>
        <w:spacing w:before="120" w:after="120" w:line="240" w:lineRule="auto"/>
        <w:jc w:val="center"/>
        <w:rPr>
          <w:b/>
          <w:sz w:val="48"/>
        </w:rPr>
      </w:pPr>
      <w:r w:rsidRPr="005222C3">
        <w:rPr>
          <w:b/>
          <w:sz w:val="72"/>
        </w:rPr>
        <w:t xml:space="preserve">Bilgilendirme Semineri </w:t>
      </w:r>
    </w:p>
    <w:p w:rsidR="00634B38" w:rsidRPr="008B7E4E" w:rsidRDefault="00634B38" w:rsidP="007A35E7">
      <w:pPr>
        <w:spacing w:before="120" w:after="120" w:line="240" w:lineRule="auto"/>
        <w:jc w:val="center"/>
        <w:rPr>
          <w:b/>
          <w:sz w:val="32"/>
        </w:rPr>
      </w:pPr>
      <w:r w:rsidRPr="008B7E4E">
        <w:rPr>
          <w:b/>
          <w:sz w:val="32"/>
        </w:rPr>
        <w:t>(Webinar</w:t>
      </w:r>
      <w:r w:rsidR="00C5559E" w:rsidRPr="008B7E4E">
        <w:rPr>
          <w:b/>
          <w:sz w:val="32"/>
        </w:rPr>
        <w:t xml:space="preserve"> – İnternet Üzerinden</w:t>
      </w:r>
      <w:r w:rsidRPr="008B7E4E">
        <w:rPr>
          <w:b/>
          <w:sz w:val="32"/>
        </w:rPr>
        <w:t>)</w:t>
      </w:r>
    </w:p>
    <w:p w:rsidR="00634B38" w:rsidRPr="008B7E4E" w:rsidRDefault="00427FA8" w:rsidP="00E27740">
      <w:pP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2</w:t>
      </w:r>
      <w:r w:rsidR="007A35E7">
        <w:rPr>
          <w:b/>
          <w:sz w:val="36"/>
        </w:rPr>
        <w:t>6</w:t>
      </w:r>
      <w:r w:rsidR="002728F1">
        <w:rPr>
          <w:b/>
          <w:sz w:val="36"/>
        </w:rPr>
        <w:t xml:space="preserve"> </w:t>
      </w:r>
      <w:r w:rsidR="00034A47">
        <w:rPr>
          <w:b/>
          <w:sz w:val="36"/>
        </w:rPr>
        <w:t>Ekim</w:t>
      </w:r>
      <w:r w:rsidR="002728F1">
        <w:rPr>
          <w:b/>
          <w:sz w:val="36"/>
        </w:rPr>
        <w:t xml:space="preserve"> 202</w:t>
      </w:r>
      <w:r w:rsidR="007A35E7">
        <w:rPr>
          <w:b/>
          <w:sz w:val="36"/>
        </w:rPr>
        <w:t>1</w:t>
      </w:r>
      <w:r w:rsidR="002728F1">
        <w:rPr>
          <w:b/>
          <w:sz w:val="36"/>
        </w:rPr>
        <w:t xml:space="preserve"> </w:t>
      </w:r>
      <w:r w:rsidR="007A35E7">
        <w:rPr>
          <w:b/>
          <w:sz w:val="36"/>
        </w:rPr>
        <w:t>Salı</w:t>
      </w:r>
      <w:r w:rsidR="00634B38" w:rsidRPr="008B7E4E">
        <w:rPr>
          <w:b/>
          <w:sz w:val="36"/>
        </w:rPr>
        <w:t xml:space="preserve"> – </w:t>
      </w:r>
      <w:r w:rsidR="0091229A" w:rsidRPr="008B7E4E">
        <w:rPr>
          <w:b/>
          <w:sz w:val="36"/>
        </w:rPr>
        <w:t xml:space="preserve">Saat: </w:t>
      </w:r>
      <w:r w:rsidR="00917A0A">
        <w:rPr>
          <w:b/>
          <w:sz w:val="36"/>
        </w:rPr>
        <w:t>14</w:t>
      </w:r>
      <w:r w:rsidR="00C90B0B" w:rsidRPr="008B7E4E">
        <w:rPr>
          <w:b/>
          <w:sz w:val="36"/>
        </w:rPr>
        <w:t>:00</w:t>
      </w:r>
    </w:p>
    <w:p w:rsidR="00634B38" w:rsidRPr="002C30A9" w:rsidRDefault="00E27740" w:rsidP="00554D81">
      <w:pPr>
        <w:jc w:val="center"/>
        <w:rPr>
          <w:b/>
          <w:sz w:val="28"/>
        </w:rPr>
      </w:pPr>
      <w:r>
        <w:rPr>
          <w:b/>
          <w:sz w:val="28"/>
        </w:rPr>
        <w:t xml:space="preserve">Seminere </w:t>
      </w:r>
      <w:r w:rsidR="00B37F94">
        <w:rPr>
          <w:b/>
          <w:sz w:val="28"/>
        </w:rPr>
        <w:t>kayıt</w:t>
      </w:r>
      <w:r w:rsidR="008B7E4E">
        <w:rPr>
          <w:b/>
          <w:sz w:val="28"/>
        </w:rPr>
        <w:t xml:space="preserve"> adresi</w:t>
      </w:r>
      <w:r w:rsidR="0044614E" w:rsidRPr="002C30A9">
        <w:rPr>
          <w:b/>
          <w:sz w:val="28"/>
        </w:rPr>
        <w:t xml:space="preserve">: </w:t>
      </w:r>
      <w:hyperlink r:id="rId10" w:history="1">
        <w:r w:rsidR="00554D81" w:rsidRPr="002C30A9">
          <w:rPr>
            <w:rStyle w:val="Kpr"/>
            <w:b/>
            <w:sz w:val="28"/>
          </w:rPr>
          <w:t>http://webinar.tobb.org.tr</w:t>
        </w:r>
      </w:hyperlink>
      <w:r w:rsidR="00554D81" w:rsidRPr="002C30A9">
        <w:rPr>
          <w:b/>
          <w:sz w:val="28"/>
        </w:rPr>
        <w:t xml:space="preserve">  </w:t>
      </w:r>
    </w:p>
    <w:p w:rsidR="004A0DE9" w:rsidRPr="004A0DE9" w:rsidRDefault="007A35E7" w:rsidP="004A0DE9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9257FB">
        <w:rPr>
          <w:sz w:val="28"/>
        </w:rPr>
        <w:t>Enerji ve Tabii Kaynaklar Bakanlığı</w:t>
      </w:r>
      <w:r w:rsidR="00893C64">
        <w:rPr>
          <w:sz w:val="28"/>
        </w:rPr>
        <w:t xml:space="preserve">, </w:t>
      </w:r>
      <w:r w:rsidR="009257FB" w:rsidRPr="009257FB">
        <w:rPr>
          <w:sz w:val="28"/>
        </w:rPr>
        <w:t>Türkiye Odalar ve Borsalar Birliği</w:t>
      </w:r>
      <w:r w:rsidR="00893C64">
        <w:rPr>
          <w:sz w:val="28"/>
        </w:rPr>
        <w:t xml:space="preserve"> ve </w:t>
      </w:r>
      <w:r w:rsidR="00893C64" w:rsidRPr="00893C64">
        <w:rPr>
          <w:sz w:val="28"/>
        </w:rPr>
        <w:t>Akkuyu Nükleer Santrali A.Ş.</w:t>
      </w:r>
      <w:r w:rsidR="00893C64">
        <w:rPr>
          <w:rFonts w:ascii="Calibri" w:eastAsia="Times New Roman" w:hAnsi="Calibri" w:cs="Calibri"/>
          <w:color w:val="1F497D"/>
          <w:lang w:eastAsia="tr-TR"/>
        </w:rPr>
        <w:t xml:space="preserve"> </w:t>
      </w:r>
      <w:r w:rsidR="00893C64">
        <w:rPr>
          <w:sz w:val="28"/>
        </w:rPr>
        <w:t xml:space="preserve">işbirliğinde </w:t>
      </w:r>
      <w:r w:rsidR="009257FB" w:rsidRPr="009257FB">
        <w:rPr>
          <w:sz w:val="28"/>
        </w:rPr>
        <w:t>gerçekleştirilecek olan;</w:t>
      </w:r>
      <w:r w:rsidR="00FE570B">
        <w:rPr>
          <w:sz w:val="28"/>
        </w:rPr>
        <w:t xml:space="preserve"> </w:t>
      </w:r>
      <w:r w:rsidR="009257FB" w:rsidRPr="009257FB">
        <w:rPr>
          <w:sz w:val="28"/>
        </w:rPr>
        <w:t>“</w:t>
      </w:r>
      <w:r w:rsidR="009257FB" w:rsidRPr="005222C3">
        <w:rPr>
          <w:b/>
          <w:sz w:val="28"/>
        </w:rPr>
        <w:t>Akk</w:t>
      </w:r>
      <w:r w:rsidRPr="005222C3">
        <w:rPr>
          <w:b/>
          <w:sz w:val="28"/>
        </w:rPr>
        <w:t>uyu Nükleer Santral Projesi’nde İhalelerin Takibi ve Tedarikçi Olmak İçin Yapılması Gerekenler</w:t>
      </w:r>
      <w:r w:rsidR="009257FB" w:rsidRPr="009257FB">
        <w:rPr>
          <w:sz w:val="28"/>
        </w:rPr>
        <w:t xml:space="preserve">” </w:t>
      </w:r>
      <w:r w:rsidR="004A0DE9">
        <w:rPr>
          <w:sz w:val="28"/>
        </w:rPr>
        <w:t>konulu seminerde; p</w:t>
      </w:r>
      <w:r w:rsidR="004A0DE9" w:rsidRPr="004A0DE9">
        <w:rPr>
          <w:sz w:val="28"/>
        </w:rPr>
        <w:t>rojede yerli katkının artırılması açısından potansiyel Türk tedarikçilerin Akkuyu NGS Projesi ve ihale kurallarıyla ilgili bilgilendirilmesi ve ana yüklenici ile bir araya getirilmesi ama</w:t>
      </w:r>
      <w:r w:rsidR="004A0DE9">
        <w:rPr>
          <w:sz w:val="28"/>
        </w:rPr>
        <w:t>çlanmaktadır. S</w:t>
      </w:r>
      <w:r w:rsidR="004A0DE9" w:rsidRPr="004A0DE9">
        <w:rPr>
          <w:sz w:val="28"/>
        </w:rPr>
        <w:t>eminer sonunda katılımcıların konu hakkındaki soruları cevaplandırılacaktır.</w:t>
      </w:r>
    </w:p>
    <w:p w:rsidR="004A0DE9" w:rsidRDefault="004A0DE9" w:rsidP="009257FB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294BE9" w:rsidRPr="00C4744B" w:rsidRDefault="00BC0B6C" w:rsidP="00294BE9">
      <w:pPr>
        <w:spacing w:after="0" w:line="240" w:lineRule="auto"/>
        <w:jc w:val="center"/>
        <w:rPr>
          <w:b/>
          <w:sz w:val="32"/>
        </w:rPr>
      </w:pPr>
      <w:hyperlink r:id="rId11" w:history="1">
        <w:r w:rsidR="00294BE9" w:rsidRPr="00C4744B">
          <w:rPr>
            <w:rStyle w:val="Kpr"/>
            <w:b/>
            <w:sz w:val="32"/>
          </w:rPr>
          <w:t>http://webinar.tobb.org.tr</w:t>
        </w:r>
      </w:hyperlink>
    </w:p>
    <w:p w:rsidR="00294BE9" w:rsidRDefault="00294BE9" w:rsidP="00294BE9">
      <w:pPr>
        <w:spacing w:after="0" w:line="240" w:lineRule="auto"/>
        <w:jc w:val="center"/>
        <w:rPr>
          <w:b/>
          <w:sz w:val="32"/>
        </w:rPr>
      </w:pPr>
      <w:r w:rsidRPr="00C4744B">
        <w:rPr>
          <w:b/>
          <w:sz w:val="32"/>
        </w:rPr>
        <w:t xml:space="preserve">linkinden </w:t>
      </w:r>
      <w:r w:rsidR="00B37F94">
        <w:rPr>
          <w:b/>
          <w:sz w:val="32"/>
        </w:rPr>
        <w:t>kayıt olabilirsiniz</w:t>
      </w:r>
      <w:r w:rsidRPr="00C4744B">
        <w:rPr>
          <w:b/>
          <w:sz w:val="32"/>
        </w:rPr>
        <w:t>.</w:t>
      </w:r>
    </w:p>
    <w:p w:rsidR="00294BE9" w:rsidRPr="00DC5CBB" w:rsidRDefault="00294BE9" w:rsidP="00294BE9">
      <w:pPr>
        <w:spacing w:after="0" w:line="240" w:lineRule="auto"/>
        <w:jc w:val="center"/>
        <w:rPr>
          <w:b/>
          <w:color w:val="FF0000"/>
          <w:sz w:val="32"/>
        </w:rPr>
      </w:pPr>
      <w:r w:rsidRPr="00DC5CBB">
        <w:rPr>
          <w:b/>
          <w:color w:val="FF0000"/>
          <w:sz w:val="32"/>
        </w:rPr>
        <w:t>Tüm üyelere katılım ücretsizdir.</w:t>
      </w:r>
    </w:p>
    <w:p w:rsidR="00BC544C" w:rsidRPr="00BC544C" w:rsidRDefault="00BC544C" w:rsidP="00B7480D">
      <w:pPr>
        <w:spacing w:after="0" w:line="216" w:lineRule="auto"/>
        <w:rPr>
          <w:b/>
          <w:sz w:val="32"/>
        </w:rPr>
      </w:pPr>
      <w:r w:rsidRPr="00BC544C">
        <w:rPr>
          <w:b/>
          <w:sz w:val="32"/>
        </w:rPr>
        <w:t>Program:</w:t>
      </w:r>
    </w:p>
    <w:p w:rsidR="00BC544C" w:rsidRDefault="00917A0A" w:rsidP="00B7480D">
      <w:pPr>
        <w:spacing w:after="0" w:line="216" w:lineRule="auto"/>
        <w:rPr>
          <w:b/>
          <w:sz w:val="32"/>
        </w:rPr>
      </w:pPr>
      <w:r>
        <w:rPr>
          <w:b/>
          <w:sz w:val="32"/>
        </w:rPr>
        <w:t>14</w:t>
      </w:r>
      <w:r w:rsidR="00D07676">
        <w:rPr>
          <w:b/>
          <w:sz w:val="32"/>
        </w:rPr>
        <w:t xml:space="preserve">:00 – </w:t>
      </w:r>
      <w:r>
        <w:rPr>
          <w:b/>
          <w:sz w:val="32"/>
        </w:rPr>
        <w:t>14</w:t>
      </w:r>
      <w:r w:rsidR="00BC544C" w:rsidRPr="00BC544C">
        <w:rPr>
          <w:b/>
          <w:sz w:val="32"/>
        </w:rPr>
        <w:t>:</w:t>
      </w:r>
      <w:r w:rsidR="00034A47">
        <w:rPr>
          <w:b/>
          <w:sz w:val="32"/>
        </w:rPr>
        <w:t>15</w:t>
      </w:r>
      <w:r w:rsidR="00BC544C" w:rsidRPr="00BC544C">
        <w:rPr>
          <w:b/>
          <w:sz w:val="32"/>
        </w:rPr>
        <w:t xml:space="preserve"> </w:t>
      </w:r>
      <w:r w:rsidR="00BC544C" w:rsidRPr="00BC544C">
        <w:rPr>
          <w:b/>
          <w:sz w:val="32"/>
        </w:rPr>
        <w:tab/>
        <w:t>Açılış Konuşmaları</w:t>
      </w:r>
    </w:p>
    <w:p w:rsidR="00893C64" w:rsidRPr="009257FB" w:rsidRDefault="00893C64" w:rsidP="00B7480D">
      <w:pPr>
        <w:numPr>
          <w:ilvl w:val="0"/>
          <w:numId w:val="9"/>
        </w:numPr>
        <w:spacing w:after="0" w:line="216" w:lineRule="auto"/>
        <w:ind w:left="714" w:hanging="357"/>
        <w:rPr>
          <w:sz w:val="32"/>
        </w:rPr>
      </w:pPr>
      <w:r w:rsidRPr="009257FB">
        <w:rPr>
          <w:sz w:val="32"/>
        </w:rPr>
        <w:t>Türkiye Odalar ve Borsalar Birliği</w:t>
      </w:r>
    </w:p>
    <w:p w:rsidR="009257FB" w:rsidRDefault="009257FB" w:rsidP="00B7480D">
      <w:pPr>
        <w:numPr>
          <w:ilvl w:val="0"/>
          <w:numId w:val="9"/>
        </w:numPr>
        <w:spacing w:after="0" w:line="216" w:lineRule="auto"/>
        <w:ind w:left="714" w:hanging="357"/>
        <w:rPr>
          <w:sz w:val="32"/>
        </w:rPr>
      </w:pPr>
      <w:bookmarkStart w:id="0" w:name="_Hlk61385942"/>
      <w:r w:rsidRPr="009257FB">
        <w:rPr>
          <w:sz w:val="32"/>
        </w:rPr>
        <w:t>Enerji ve Tabii Kaynaklar Bakanlığı</w:t>
      </w:r>
    </w:p>
    <w:bookmarkEnd w:id="0"/>
    <w:p w:rsidR="00C62C97" w:rsidRDefault="00C120DC" w:rsidP="00B7480D">
      <w:pPr>
        <w:spacing w:after="0" w:line="216" w:lineRule="auto"/>
      </w:pPr>
      <w:r>
        <w:rPr>
          <w:b/>
          <w:sz w:val="32"/>
        </w:rPr>
        <w:t>14</w:t>
      </w:r>
      <w:r w:rsidR="00BC544C" w:rsidRPr="00BC544C">
        <w:rPr>
          <w:b/>
          <w:sz w:val="32"/>
        </w:rPr>
        <w:t>:</w:t>
      </w:r>
      <w:r w:rsidR="00034A47">
        <w:rPr>
          <w:b/>
          <w:sz w:val="32"/>
        </w:rPr>
        <w:t>15</w:t>
      </w:r>
      <w:r w:rsidR="00BC544C" w:rsidRPr="00BC544C">
        <w:rPr>
          <w:b/>
          <w:sz w:val="32"/>
        </w:rPr>
        <w:t xml:space="preserve"> – </w:t>
      </w:r>
      <w:r>
        <w:rPr>
          <w:b/>
          <w:sz w:val="32"/>
        </w:rPr>
        <w:t>1</w:t>
      </w:r>
      <w:r w:rsidR="00034A47">
        <w:rPr>
          <w:b/>
          <w:sz w:val="32"/>
        </w:rPr>
        <w:t>5</w:t>
      </w:r>
      <w:r w:rsidR="00BC544C" w:rsidRPr="00BC544C">
        <w:rPr>
          <w:b/>
          <w:sz w:val="32"/>
        </w:rPr>
        <w:t>:</w:t>
      </w:r>
      <w:r w:rsidR="00034A47">
        <w:rPr>
          <w:b/>
          <w:sz w:val="32"/>
        </w:rPr>
        <w:t>30</w:t>
      </w:r>
      <w:r w:rsidR="00BC544C" w:rsidRPr="00BC544C">
        <w:rPr>
          <w:b/>
          <w:sz w:val="32"/>
        </w:rPr>
        <w:t xml:space="preserve"> </w:t>
      </w:r>
      <w:r w:rsidR="00C62C97">
        <w:rPr>
          <w:b/>
          <w:sz w:val="32"/>
        </w:rPr>
        <w:t xml:space="preserve">    </w:t>
      </w:r>
      <w:r w:rsidR="00034A47">
        <w:rPr>
          <w:b/>
          <w:sz w:val="32"/>
        </w:rPr>
        <w:t>Tedarikçi Bilgilendirme Paneli</w:t>
      </w:r>
    </w:p>
    <w:p w:rsidR="00C62C97" w:rsidRDefault="00C62C97" w:rsidP="00B7480D">
      <w:pPr>
        <w:numPr>
          <w:ilvl w:val="0"/>
          <w:numId w:val="9"/>
        </w:numPr>
        <w:spacing w:after="0" w:line="216" w:lineRule="auto"/>
        <w:rPr>
          <w:sz w:val="32"/>
        </w:rPr>
      </w:pPr>
      <w:r>
        <w:rPr>
          <w:sz w:val="32"/>
        </w:rPr>
        <w:t xml:space="preserve"> </w:t>
      </w:r>
      <w:r w:rsidRPr="00C62C97">
        <w:rPr>
          <w:sz w:val="32"/>
        </w:rPr>
        <w:t xml:space="preserve">Akkuyu Nükleer A.Ş. </w:t>
      </w:r>
      <w:r>
        <w:rPr>
          <w:sz w:val="32"/>
        </w:rPr>
        <w:t>(14:</w:t>
      </w:r>
      <w:r w:rsidR="004A0DE9">
        <w:rPr>
          <w:sz w:val="32"/>
        </w:rPr>
        <w:t>15</w:t>
      </w:r>
      <w:r>
        <w:rPr>
          <w:sz w:val="32"/>
        </w:rPr>
        <w:t>-1</w:t>
      </w:r>
      <w:r w:rsidR="004A0DE9">
        <w:rPr>
          <w:sz w:val="32"/>
        </w:rPr>
        <w:t>4</w:t>
      </w:r>
      <w:r>
        <w:rPr>
          <w:sz w:val="32"/>
        </w:rPr>
        <w:t>:</w:t>
      </w:r>
      <w:r w:rsidR="004A0DE9">
        <w:rPr>
          <w:sz w:val="32"/>
        </w:rPr>
        <w:t>40</w:t>
      </w:r>
      <w:r>
        <w:rPr>
          <w:sz w:val="32"/>
        </w:rPr>
        <w:t>)</w:t>
      </w:r>
    </w:p>
    <w:p w:rsidR="00C62C97" w:rsidRDefault="00C62C97" w:rsidP="00B7480D">
      <w:pPr>
        <w:numPr>
          <w:ilvl w:val="0"/>
          <w:numId w:val="9"/>
        </w:numPr>
        <w:spacing w:after="0" w:line="216" w:lineRule="auto"/>
        <w:rPr>
          <w:sz w:val="32"/>
        </w:rPr>
      </w:pPr>
      <w:r>
        <w:rPr>
          <w:sz w:val="32"/>
        </w:rPr>
        <w:t xml:space="preserve"> </w:t>
      </w:r>
      <w:r w:rsidRPr="00C62C97">
        <w:rPr>
          <w:sz w:val="32"/>
        </w:rPr>
        <w:t>IC İÇTAŞ – TİTAN 2</w:t>
      </w:r>
      <w:r>
        <w:rPr>
          <w:sz w:val="32"/>
        </w:rPr>
        <w:t xml:space="preserve">    (1</w:t>
      </w:r>
      <w:r w:rsidR="004A0DE9">
        <w:rPr>
          <w:sz w:val="32"/>
        </w:rPr>
        <w:t>4</w:t>
      </w:r>
      <w:r>
        <w:rPr>
          <w:sz w:val="32"/>
        </w:rPr>
        <w:t>:</w:t>
      </w:r>
      <w:r w:rsidR="004A0DE9">
        <w:rPr>
          <w:sz w:val="32"/>
        </w:rPr>
        <w:t>40</w:t>
      </w:r>
      <w:r>
        <w:rPr>
          <w:sz w:val="32"/>
        </w:rPr>
        <w:t>-15:</w:t>
      </w:r>
      <w:r w:rsidR="004A0DE9">
        <w:rPr>
          <w:sz w:val="32"/>
        </w:rPr>
        <w:t>05</w:t>
      </w:r>
      <w:r>
        <w:rPr>
          <w:sz w:val="32"/>
        </w:rPr>
        <w:t>)</w:t>
      </w:r>
    </w:p>
    <w:p w:rsidR="00C62C97" w:rsidRPr="00C62C97" w:rsidRDefault="00C62C97" w:rsidP="00B7480D">
      <w:pPr>
        <w:numPr>
          <w:ilvl w:val="0"/>
          <w:numId w:val="9"/>
        </w:numPr>
        <w:spacing w:after="0" w:line="216" w:lineRule="auto"/>
        <w:rPr>
          <w:sz w:val="32"/>
        </w:rPr>
      </w:pPr>
      <w:r>
        <w:rPr>
          <w:sz w:val="32"/>
        </w:rPr>
        <w:t xml:space="preserve"> </w:t>
      </w:r>
      <w:r w:rsidR="007C42ED" w:rsidRPr="00C62C97">
        <w:rPr>
          <w:sz w:val="32"/>
        </w:rPr>
        <w:t>Türk Standar</w:t>
      </w:r>
      <w:r w:rsidR="000C6C4A">
        <w:rPr>
          <w:sz w:val="32"/>
        </w:rPr>
        <w:t>d</w:t>
      </w:r>
      <w:r w:rsidR="007C42ED" w:rsidRPr="00C62C97">
        <w:rPr>
          <w:sz w:val="32"/>
        </w:rPr>
        <w:t xml:space="preserve">ları Enstitüsü </w:t>
      </w:r>
      <w:r>
        <w:rPr>
          <w:sz w:val="32"/>
        </w:rPr>
        <w:t>(15:</w:t>
      </w:r>
      <w:r w:rsidR="004A0DE9">
        <w:rPr>
          <w:sz w:val="32"/>
        </w:rPr>
        <w:t>05</w:t>
      </w:r>
      <w:r>
        <w:rPr>
          <w:sz w:val="32"/>
        </w:rPr>
        <w:t>-1</w:t>
      </w:r>
      <w:r w:rsidR="004A0DE9">
        <w:rPr>
          <w:sz w:val="32"/>
        </w:rPr>
        <w:t>5</w:t>
      </w:r>
      <w:r>
        <w:rPr>
          <w:sz w:val="32"/>
        </w:rPr>
        <w:t>:</w:t>
      </w:r>
      <w:r w:rsidR="004A0DE9">
        <w:rPr>
          <w:sz w:val="32"/>
        </w:rPr>
        <w:t>30</w:t>
      </w:r>
      <w:r>
        <w:rPr>
          <w:sz w:val="32"/>
        </w:rPr>
        <w:t>)</w:t>
      </w:r>
    </w:p>
    <w:p w:rsidR="006C34C9" w:rsidRPr="00BC544C" w:rsidRDefault="00C120DC" w:rsidP="00B7480D">
      <w:pPr>
        <w:spacing w:after="0" w:line="216" w:lineRule="auto"/>
        <w:rPr>
          <w:b/>
          <w:sz w:val="32"/>
        </w:rPr>
      </w:pPr>
      <w:r>
        <w:rPr>
          <w:b/>
          <w:sz w:val="32"/>
        </w:rPr>
        <w:t>1</w:t>
      </w:r>
      <w:r w:rsidR="00034A47">
        <w:rPr>
          <w:b/>
          <w:sz w:val="32"/>
        </w:rPr>
        <w:t>5</w:t>
      </w:r>
      <w:r w:rsidR="00BC544C" w:rsidRPr="00BC544C">
        <w:rPr>
          <w:b/>
          <w:sz w:val="32"/>
        </w:rPr>
        <w:t>:</w:t>
      </w:r>
      <w:r w:rsidR="00034A47">
        <w:rPr>
          <w:b/>
          <w:sz w:val="32"/>
        </w:rPr>
        <w:t>30</w:t>
      </w:r>
      <w:r w:rsidR="00BC544C" w:rsidRPr="00BC544C">
        <w:rPr>
          <w:b/>
          <w:sz w:val="32"/>
        </w:rPr>
        <w:t xml:space="preserve"> – </w:t>
      </w:r>
      <w:r>
        <w:rPr>
          <w:b/>
          <w:sz w:val="32"/>
        </w:rPr>
        <w:t>16</w:t>
      </w:r>
      <w:r w:rsidR="00BC544C" w:rsidRPr="00BC544C">
        <w:rPr>
          <w:b/>
          <w:sz w:val="32"/>
        </w:rPr>
        <w:t>:</w:t>
      </w:r>
      <w:r w:rsidR="00034A47">
        <w:rPr>
          <w:b/>
          <w:sz w:val="32"/>
        </w:rPr>
        <w:t>30</w:t>
      </w:r>
      <w:r w:rsidR="00BC544C" w:rsidRPr="00BC544C">
        <w:rPr>
          <w:b/>
          <w:sz w:val="32"/>
        </w:rPr>
        <w:t xml:space="preserve"> </w:t>
      </w:r>
      <w:r w:rsidR="00BC544C" w:rsidRPr="00BC544C">
        <w:rPr>
          <w:b/>
          <w:sz w:val="32"/>
        </w:rPr>
        <w:tab/>
        <w:t>Soru Cevap</w:t>
      </w:r>
      <w:bookmarkStart w:id="1" w:name="_GoBack"/>
      <w:bookmarkEnd w:id="1"/>
    </w:p>
    <w:p w:rsidR="005222C3" w:rsidRDefault="005222C3" w:rsidP="00B7480D">
      <w:pPr>
        <w:spacing w:after="0" w:line="216" w:lineRule="auto"/>
        <w:rPr>
          <w:b/>
        </w:rPr>
      </w:pPr>
    </w:p>
    <w:p w:rsidR="00634B38" w:rsidRDefault="006C34C9" w:rsidP="00B7480D">
      <w:pPr>
        <w:spacing w:after="0" w:line="216" w:lineRule="auto"/>
      </w:pPr>
      <w:r w:rsidRPr="00996C4C">
        <w:rPr>
          <w:b/>
        </w:rPr>
        <w:t>S</w:t>
      </w:r>
      <w:r w:rsidR="00952309" w:rsidRPr="00996C4C">
        <w:rPr>
          <w:b/>
        </w:rPr>
        <w:t>eminer ile ilgili i</w:t>
      </w:r>
      <w:r w:rsidR="0044614E" w:rsidRPr="00996C4C">
        <w:rPr>
          <w:b/>
        </w:rPr>
        <w:t>letişim</w:t>
      </w:r>
      <w:r w:rsidR="0044614E" w:rsidRPr="00996C4C">
        <w:t xml:space="preserve">: </w:t>
      </w:r>
      <w:hyperlink r:id="rId12" w:history="1">
        <w:r w:rsidR="0044614E" w:rsidRPr="00996C4C">
          <w:rPr>
            <w:rStyle w:val="Kpr"/>
          </w:rPr>
          <w:t>kobi@tobb.org.tr</w:t>
        </w:r>
      </w:hyperlink>
      <w:r w:rsidR="0044614E" w:rsidRPr="00996C4C">
        <w:t>, 0312 218 24 31</w:t>
      </w:r>
    </w:p>
    <w:sectPr w:rsidR="00634B38" w:rsidSect="00FE389F">
      <w:pgSz w:w="12240" w:h="15840"/>
      <w:pgMar w:top="624" w:right="902" w:bottom="425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6C" w:rsidRDefault="00BC0B6C" w:rsidP="008653F1">
      <w:pPr>
        <w:spacing w:after="0" w:line="240" w:lineRule="auto"/>
      </w:pPr>
      <w:r>
        <w:separator/>
      </w:r>
    </w:p>
  </w:endnote>
  <w:endnote w:type="continuationSeparator" w:id="0">
    <w:p w:rsidR="00BC0B6C" w:rsidRDefault="00BC0B6C" w:rsidP="0086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6C" w:rsidRDefault="00BC0B6C" w:rsidP="008653F1">
      <w:pPr>
        <w:spacing w:after="0" w:line="240" w:lineRule="auto"/>
      </w:pPr>
      <w:r>
        <w:separator/>
      </w:r>
    </w:p>
  </w:footnote>
  <w:footnote w:type="continuationSeparator" w:id="0">
    <w:p w:rsidR="00BC0B6C" w:rsidRDefault="00BC0B6C" w:rsidP="00865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C9F"/>
    <w:multiLevelType w:val="hybridMultilevel"/>
    <w:tmpl w:val="7F3E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617C"/>
    <w:multiLevelType w:val="hybridMultilevel"/>
    <w:tmpl w:val="66C62AA8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B44"/>
    <w:multiLevelType w:val="hybridMultilevel"/>
    <w:tmpl w:val="78BE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1580"/>
    <w:multiLevelType w:val="hybridMultilevel"/>
    <w:tmpl w:val="ED10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B3742"/>
    <w:multiLevelType w:val="hybridMultilevel"/>
    <w:tmpl w:val="5F2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644ED"/>
    <w:multiLevelType w:val="hybridMultilevel"/>
    <w:tmpl w:val="07AEE15C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3382"/>
    <w:multiLevelType w:val="hybridMultilevel"/>
    <w:tmpl w:val="D7BA9908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3AA4"/>
    <w:multiLevelType w:val="hybridMultilevel"/>
    <w:tmpl w:val="B4A6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21875"/>
    <w:multiLevelType w:val="hybridMultilevel"/>
    <w:tmpl w:val="960E42E6"/>
    <w:lvl w:ilvl="0" w:tplc="0EC6083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3"/>
    <w:rsid w:val="00015D23"/>
    <w:rsid w:val="00022A82"/>
    <w:rsid w:val="00034A47"/>
    <w:rsid w:val="000A424C"/>
    <w:rsid w:val="000C6C4A"/>
    <w:rsid w:val="000F38EB"/>
    <w:rsid w:val="0012471A"/>
    <w:rsid w:val="001867A7"/>
    <w:rsid w:val="001A47BC"/>
    <w:rsid w:val="002047A0"/>
    <w:rsid w:val="00232351"/>
    <w:rsid w:val="00257CF3"/>
    <w:rsid w:val="00260F2C"/>
    <w:rsid w:val="002728F1"/>
    <w:rsid w:val="00294BE9"/>
    <w:rsid w:val="00296074"/>
    <w:rsid w:val="002A4A34"/>
    <w:rsid w:val="002C30A9"/>
    <w:rsid w:val="002D45C9"/>
    <w:rsid w:val="002D738F"/>
    <w:rsid w:val="002E2211"/>
    <w:rsid w:val="00305F34"/>
    <w:rsid w:val="00312BFF"/>
    <w:rsid w:val="00335C1F"/>
    <w:rsid w:val="00354375"/>
    <w:rsid w:val="00374B9A"/>
    <w:rsid w:val="00391D50"/>
    <w:rsid w:val="003A2E3D"/>
    <w:rsid w:val="003D686B"/>
    <w:rsid w:val="003F432E"/>
    <w:rsid w:val="00427FA8"/>
    <w:rsid w:val="0044614E"/>
    <w:rsid w:val="00446631"/>
    <w:rsid w:val="004570E5"/>
    <w:rsid w:val="004A0DE9"/>
    <w:rsid w:val="005222C3"/>
    <w:rsid w:val="00540524"/>
    <w:rsid w:val="00554D81"/>
    <w:rsid w:val="00566292"/>
    <w:rsid w:val="0058601A"/>
    <w:rsid w:val="005903EA"/>
    <w:rsid w:val="005E664D"/>
    <w:rsid w:val="005F21D8"/>
    <w:rsid w:val="00634B38"/>
    <w:rsid w:val="00663C0C"/>
    <w:rsid w:val="006C34C9"/>
    <w:rsid w:val="006D3209"/>
    <w:rsid w:val="00705C73"/>
    <w:rsid w:val="007568E8"/>
    <w:rsid w:val="0076704E"/>
    <w:rsid w:val="007A35E7"/>
    <w:rsid w:val="007C42ED"/>
    <w:rsid w:val="007C5E80"/>
    <w:rsid w:val="00812128"/>
    <w:rsid w:val="00813855"/>
    <w:rsid w:val="00850A9F"/>
    <w:rsid w:val="008538C0"/>
    <w:rsid w:val="008653F1"/>
    <w:rsid w:val="00893C64"/>
    <w:rsid w:val="00893EB0"/>
    <w:rsid w:val="008B7E4E"/>
    <w:rsid w:val="008C3040"/>
    <w:rsid w:val="008E155F"/>
    <w:rsid w:val="008E2255"/>
    <w:rsid w:val="0091229A"/>
    <w:rsid w:val="00914D47"/>
    <w:rsid w:val="00917A0A"/>
    <w:rsid w:val="009257FB"/>
    <w:rsid w:val="00935124"/>
    <w:rsid w:val="00952309"/>
    <w:rsid w:val="00976D9E"/>
    <w:rsid w:val="00996C4C"/>
    <w:rsid w:val="009A4031"/>
    <w:rsid w:val="009C35F5"/>
    <w:rsid w:val="00A37D54"/>
    <w:rsid w:val="00A80F9B"/>
    <w:rsid w:val="00B37F94"/>
    <w:rsid w:val="00B47B58"/>
    <w:rsid w:val="00B529B7"/>
    <w:rsid w:val="00B62D94"/>
    <w:rsid w:val="00B7480D"/>
    <w:rsid w:val="00B81D60"/>
    <w:rsid w:val="00B87CF6"/>
    <w:rsid w:val="00BC0B6C"/>
    <w:rsid w:val="00BC544C"/>
    <w:rsid w:val="00BE1EC2"/>
    <w:rsid w:val="00C120DC"/>
    <w:rsid w:val="00C220E5"/>
    <w:rsid w:val="00C5559E"/>
    <w:rsid w:val="00C62C97"/>
    <w:rsid w:val="00C86AB4"/>
    <w:rsid w:val="00C90B0B"/>
    <w:rsid w:val="00CC7D74"/>
    <w:rsid w:val="00CF1642"/>
    <w:rsid w:val="00CF75B7"/>
    <w:rsid w:val="00D07676"/>
    <w:rsid w:val="00D41446"/>
    <w:rsid w:val="00D65BA3"/>
    <w:rsid w:val="00D748B2"/>
    <w:rsid w:val="00DA5BDA"/>
    <w:rsid w:val="00E127BE"/>
    <w:rsid w:val="00E25AA0"/>
    <w:rsid w:val="00E27740"/>
    <w:rsid w:val="00EB0E50"/>
    <w:rsid w:val="00ED2334"/>
    <w:rsid w:val="00F41EEF"/>
    <w:rsid w:val="00FE01C3"/>
    <w:rsid w:val="00FE389F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65F3"/>
  <w15:chartTrackingRefBased/>
  <w15:docId w15:val="{2FCF5EEA-C1AA-4CFC-AF0D-0EFABAB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34B3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4B38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CC7D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EC2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653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3F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653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3F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obi@tobb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inar.tobb.org.t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binar.tobb.org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CAHİT CEREN</dc:creator>
  <cp:keywords/>
  <dc:description/>
  <cp:lastModifiedBy>ALİ FURGAN PINAR</cp:lastModifiedBy>
  <cp:revision>7</cp:revision>
  <cp:lastPrinted>2020-11-02T08:24:00Z</cp:lastPrinted>
  <dcterms:created xsi:type="dcterms:W3CDTF">2021-01-14T13:26:00Z</dcterms:created>
  <dcterms:modified xsi:type="dcterms:W3CDTF">2021-10-13T13:49:00Z</dcterms:modified>
</cp:coreProperties>
</file>